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tblpPr w:leftFromText="180" w:rightFromText="180" w:vertAnchor="text" w:horzAnchor="margin" w:tblpXSpec="center" w:tblpY="-242"/>
        <w:bidiVisual/>
        <w:tblW w:w="9354" w:type="dxa"/>
        <w:tblLook w:val="04A0" w:firstRow="1" w:lastRow="0" w:firstColumn="1" w:lastColumn="0" w:noHBand="0" w:noVBand="1"/>
      </w:tblPr>
      <w:tblGrid>
        <w:gridCol w:w="836"/>
        <w:gridCol w:w="1292"/>
        <w:gridCol w:w="957"/>
        <w:gridCol w:w="3697"/>
        <w:gridCol w:w="2572"/>
      </w:tblGrid>
      <w:tr w:rsidR="00B6414D" w:rsidRPr="00B6414D" w14:paraId="2A9C7FCC" w14:textId="77777777" w:rsidTr="00E07D9C">
        <w:trPr>
          <w:trHeight w:val="537"/>
        </w:trPr>
        <w:tc>
          <w:tcPr>
            <w:tcW w:w="9354" w:type="dxa"/>
            <w:gridSpan w:val="5"/>
          </w:tcPr>
          <w:p w14:paraId="43E81464" w14:textId="77777777" w:rsidR="00B6414D" w:rsidRPr="00B6414D" w:rsidRDefault="00B6414D" w:rsidP="00B6414D">
            <w:pPr>
              <w:jc w:val="center"/>
              <w:rPr>
                <w:rFonts w:ascii="David" w:hAnsi="David" w:cs="David"/>
                <w:b/>
                <w:bCs/>
                <w:sz w:val="24"/>
                <w:szCs w:val="24"/>
                <w:rtl/>
              </w:rPr>
            </w:pPr>
            <w:r w:rsidRPr="00B6414D">
              <w:rPr>
                <w:rFonts w:ascii="David" w:hAnsi="David" w:cs="David"/>
                <w:b/>
                <w:bCs/>
                <w:sz w:val="24"/>
                <w:szCs w:val="24"/>
                <w:rtl/>
              </w:rPr>
              <w:t>מכרז 84-2025- לביצוע תחקורים ביטחוניים עבור משרד המשפטים (מכרז משלים למכרז פומבי מס' 09-2024)</w:t>
            </w:r>
          </w:p>
          <w:p w14:paraId="6ED2DE06" w14:textId="77777777" w:rsidR="00B6414D" w:rsidRPr="00B6414D" w:rsidRDefault="00B6414D" w:rsidP="00B6414D">
            <w:pPr>
              <w:rPr>
                <w:rFonts w:ascii="David" w:hAnsi="David" w:cs="David"/>
                <w:b/>
                <w:bCs/>
                <w:sz w:val="24"/>
                <w:szCs w:val="24"/>
                <w:rtl/>
              </w:rPr>
            </w:pPr>
          </w:p>
        </w:tc>
      </w:tr>
      <w:tr w:rsidR="00B6414D" w:rsidRPr="00B6414D" w14:paraId="4E89AC8C" w14:textId="77777777" w:rsidTr="00B6414D">
        <w:trPr>
          <w:trHeight w:val="537"/>
        </w:trPr>
        <w:tc>
          <w:tcPr>
            <w:tcW w:w="836" w:type="dxa"/>
          </w:tcPr>
          <w:p w14:paraId="18E8AECA" w14:textId="24168221" w:rsidR="00B6414D" w:rsidRPr="00B6414D" w:rsidRDefault="00B6414D" w:rsidP="00B6414D">
            <w:pPr>
              <w:rPr>
                <w:rFonts w:ascii="David" w:hAnsi="David" w:cs="David"/>
                <w:b/>
                <w:bCs/>
                <w:sz w:val="24"/>
                <w:szCs w:val="24"/>
                <w:rtl/>
              </w:rPr>
            </w:pPr>
            <w:proofErr w:type="spellStart"/>
            <w:r>
              <w:rPr>
                <w:rFonts w:ascii="David" w:hAnsi="David" w:cs="David" w:hint="cs"/>
                <w:b/>
                <w:bCs/>
                <w:sz w:val="24"/>
                <w:szCs w:val="24"/>
                <w:rtl/>
              </w:rPr>
              <w:t>מס"ד</w:t>
            </w:r>
            <w:proofErr w:type="spellEnd"/>
          </w:p>
        </w:tc>
        <w:tc>
          <w:tcPr>
            <w:tcW w:w="1292" w:type="dxa"/>
          </w:tcPr>
          <w:p w14:paraId="31862D5C"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שם הפרק/נספח</w:t>
            </w:r>
          </w:p>
        </w:tc>
        <w:tc>
          <w:tcPr>
            <w:tcW w:w="957" w:type="dxa"/>
          </w:tcPr>
          <w:p w14:paraId="0387022F"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מספר סעיף</w:t>
            </w:r>
          </w:p>
        </w:tc>
        <w:tc>
          <w:tcPr>
            <w:tcW w:w="3697" w:type="dxa"/>
          </w:tcPr>
          <w:p w14:paraId="6D6B7DCB"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השאלה</w:t>
            </w:r>
          </w:p>
        </w:tc>
        <w:tc>
          <w:tcPr>
            <w:tcW w:w="2572" w:type="dxa"/>
          </w:tcPr>
          <w:p w14:paraId="4FC5C1D7"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תשובה</w:t>
            </w:r>
          </w:p>
          <w:p w14:paraId="70AA40ED" w14:textId="77777777" w:rsidR="00B6414D" w:rsidRPr="00B6414D" w:rsidRDefault="00B6414D" w:rsidP="00B6414D">
            <w:pPr>
              <w:ind w:firstLine="720"/>
              <w:rPr>
                <w:rFonts w:ascii="David" w:hAnsi="David" w:cs="David"/>
                <w:sz w:val="24"/>
                <w:szCs w:val="24"/>
                <w:rtl/>
              </w:rPr>
            </w:pPr>
          </w:p>
        </w:tc>
      </w:tr>
      <w:tr w:rsidR="00B6414D" w:rsidRPr="00B6414D" w14:paraId="4E116A68" w14:textId="77777777" w:rsidTr="00B6414D">
        <w:trPr>
          <w:trHeight w:val="1980"/>
        </w:trPr>
        <w:tc>
          <w:tcPr>
            <w:tcW w:w="836" w:type="dxa"/>
          </w:tcPr>
          <w:p w14:paraId="12AD58CB" w14:textId="0E8AEB9B" w:rsidR="00B6414D" w:rsidRPr="00B6414D" w:rsidRDefault="00B6414D" w:rsidP="00B6414D">
            <w:pPr>
              <w:rPr>
                <w:rFonts w:ascii="David" w:hAnsi="David" w:cs="David"/>
                <w:b/>
                <w:bCs/>
                <w:sz w:val="24"/>
                <w:szCs w:val="24"/>
                <w:rtl/>
              </w:rPr>
            </w:pPr>
            <w:r>
              <w:rPr>
                <w:rFonts w:ascii="David" w:hAnsi="David" w:cs="David" w:hint="cs"/>
                <w:b/>
                <w:bCs/>
                <w:sz w:val="24"/>
                <w:szCs w:val="24"/>
                <w:rtl/>
              </w:rPr>
              <w:t>1</w:t>
            </w:r>
          </w:p>
        </w:tc>
        <w:tc>
          <w:tcPr>
            <w:tcW w:w="1292" w:type="dxa"/>
          </w:tcPr>
          <w:p w14:paraId="1F3426BC"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ב</w:t>
            </w:r>
          </w:p>
        </w:tc>
        <w:tc>
          <w:tcPr>
            <w:tcW w:w="957" w:type="dxa"/>
          </w:tcPr>
          <w:p w14:paraId="2EBEBC9C"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נספח 1</w:t>
            </w:r>
          </w:p>
        </w:tc>
        <w:tc>
          <w:tcPr>
            <w:tcW w:w="3697" w:type="dxa"/>
          </w:tcPr>
          <w:p w14:paraId="66567CFE"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 xml:space="preserve">בעולם ההתאמה הביטחונית יש 5 סוגי פעולות בלבד : תחקיר ביטחוני, תחקיר השלמה/ בב"ח, הכנה לפוליגרף, </w:t>
            </w:r>
            <w:proofErr w:type="spellStart"/>
            <w:r w:rsidRPr="00B6414D">
              <w:rPr>
                <w:rFonts w:ascii="David" w:hAnsi="David" w:cs="David"/>
                <w:sz w:val="24"/>
                <w:szCs w:val="24"/>
                <w:rtl/>
              </w:rPr>
              <w:t>חוו"ד</w:t>
            </w:r>
            <w:proofErr w:type="spellEnd"/>
            <w:r w:rsidRPr="00B6414D">
              <w:rPr>
                <w:rFonts w:ascii="David" w:hAnsi="David" w:cs="David"/>
                <w:sz w:val="24"/>
                <w:szCs w:val="24"/>
                <w:rtl/>
              </w:rPr>
              <w:t xml:space="preserve">, שיחת מיצוי. </w:t>
            </w:r>
          </w:p>
          <w:p w14:paraId="1F0611B0"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יש לעדכן את הטבלה ולמחוק את המילים "השלמה לתחקיר, תחקיר מקוצר" – אלו מושגים שלא קיימים ומעולם לא היו כאלה.</w:t>
            </w:r>
          </w:p>
        </w:tc>
        <w:tc>
          <w:tcPr>
            <w:tcW w:w="2572" w:type="dxa"/>
          </w:tcPr>
          <w:p w14:paraId="463262A3" w14:textId="66752251" w:rsidR="0076432A" w:rsidRPr="005B4916" w:rsidRDefault="00B6414D" w:rsidP="00B6414D">
            <w:pPr>
              <w:rPr>
                <w:rFonts w:ascii="David" w:hAnsi="David" w:cs="David"/>
                <w:sz w:val="24"/>
                <w:szCs w:val="24"/>
                <w:rtl/>
              </w:rPr>
            </w:pPr>
            <w:r w:rsidRPr="00B6414D">
              <w:rPr>
                <w:rFonts w:ascii="David" w:hAnsi="David" w:cs="David"/>
                <w:sz w:val="24"/>
                <w:szCs w:val="24"/>
                <w:rtl/>
              </w:rPr>
              <w:t>אין שינוי במסמכי המכרז.</w:t>
            </w:r>
            <w:r w:rsidR="0076432A">
              <w:rPr>
                <w:rFonts w:ascii="David" w:hAnsi="David" w:cs="David" w:hint="cs"/>
                <w:sz w:val="24"/>
                <w:szCs w:val="24"/>
                <w:rtl/>
              </w:rPr>
              <w:t xml:space="preserve"> הכנה </w:t>
            </w:r>
            <w:r w:rsidR="0076432A" w:rsidRPr="005B4916">
              <w:rPr>
                <w:rFonts w:ascii="David" w:hAnsi="David" w:cs="David" w:hint="cs"/>
                <w:sz w:val="24"/>
                <w:szCs w:val="24"/>
                <w:rtl/>
              </w:rPr>
              <w:t xml:space="preserve">לפוליגרף, </w:t>
            </w:r>
            <w:proofErr w:type="spellStart"/>
            <w:r w:rsidR="0076432A" w:rsidRPr="005B4916">
              <w:rPr>
                <w:rFonts w:ascii="David" w:hAnsi="David" w:cs="David" w:hint="cs"/>
                <w:sz w:val="24"/>
                <w:szCs w:val="24"/>
                <w:rtl/>
              </w:rPr>
              <w:t>חוו"ד</w:t>
            </w:r>
            <w:proofErr w:type="spellEnd"/>
            <w:r w:rsidR="0076432A" w:rsidRPr="005B4916">
              <w:rPr>
                <w:rFonts w:ascii="David" w:hAnsi="David" w:cs="David" w:hint="cs"/>
                <w:sz w:val="24"/>
                <w:szCs w:val="24"/>
                <w:rtl/>
              </w:rPr>
              <w:t xml:space="preserve"> ושיחת מיצוי נכלל בקטגוריית </w:t>
            </w:r>
            <w:r w:rsidR="005B4916" w:rsidRPr="005B4916">
              <w:rPr>
                <w:rFonts w:ascii="David" w:hAnsi="David" w:cs="David" w:hint="cs"/>
                <w:sz w:val="24"/>
                <w:szCs w:val="24"/>
                <w:rtl/>
              </w:rPr>
              <w:t>"</w:t>
            </w:r>
            <w:r w:rsidR="0076432A" w:rsidRPr="005B4916">
              <w:rPr>
                <w:rFonts w:ascii="David" w:hAnsi="David" w:cs="David" w:hint="cs"/>
                <w:sz w:val="24"/>
                <w:szCs w:val="24"/>
                <w:rtl/>
              </w:rPr>
              <w:t>השלמות לתחקיר ותחקור מקוצר</w:t>
            </w:r>
            <w:r w:rsidR="005B4916" w:rsidRPr="005B4916">
              <w:rPr>
                <w:rFonts w:ascii="David" w:hAnsi="David" w:cs="David" w:hint="cs"/>
                <w:sz w:val="24"/>
                <w:szCs w:val="24"/>
                <w:rtl/>
              </w:rPr>
              <w:t>"</w:t>
            </w:r>
            <w:r w:rsidR="0076432A" w:rsidRPr="005B4916">
              <w:rPr>
                <w:rFonts w:ascii="David" w:hAnsi="David" w:cs="David" w:hint="cs"/>
                <w:sz w:val="24"/>
                <w:szCs w:val="24"/>
                <w:rtl/>
              </w:rPr>
              <w:t>.</w:t>
            </w:r>
          </w:p>
          <w:p w14:paraId="46E1589D" w14:textId="6FB1F1A7" w:rsidR="00B6414D" w:rsidRPr="00B6414D" w:rsidRDefault="0076432A" w:rsidP="00B6414D">
            <w:pPr>
              <w:rPr>
                <w:rFonts w:ascii="David" w:hAnsi="David" w:cs="David"/>
                <w:sz w:val="24"/>
                <w:szCs w:val="24"/>
                <w:highlight w:val="yellow"/>
                <w:rtl/>
              </w:rPr>
            </w:pPr>
            <w:r w:rsidRPr="005B4916">
              <w:rPr>
                <w:rFonts w:ascii="David" w:hAnsi="David" w:cs="David" w:hint="cs"/>
                <w:sz w:val="24"/>
                <w:szCs w:val="24"/>
                <w:rtl/>
              </w:rPr>
              <w:t xml:space="preserve">תחקור מקוצר כולל בין השאר גם תחקורים </w:t>
            </w:r>
            <w:r w:rsidR="005B4916" w:rsidRPr="005B4916">
              <w:rPr>
                <w:rFonts w:ascii="David" w:hAnsi="David" w:cs="David" w:hint="cs"/>
                <w:sz w:val="24"/>
                <w:szCs w:val="24"/>
                <w:rtl/>
              </w:rPr>
              <w:t xml:space="preserve">שאינם עומדים </w:t>
            </w:r>
            <w:proofErr w:type="spellStart"/>
            <w:r w:rsidR="005B4916" w:rsidRPr="005B4916">
              <w:rPr>
                <w:rFonts w:ascii="David" w:hAnsi="David" w:cs="David" w:hint="cs"/>
                <w:sz w:val="24"/>
                <w:szCs w:val="24"/>
                <w:rtl/>
              </w:rPr>
              <w:t>בקריטיונים</w:t>
            </w:r>
            <w:proofErr w:type="spellEnd"/>
            <w:r w:rsidR="005B4916" w:rsidRPr="005B4916">
              <w:rPr>
                <w:rFonts w:ascii="David" w:hAnsi="David" w:cs="David" w:hint="cs"/>
                <w:sz w:val="24"/>
                <w:szCs w:val="24"/>
                <w:rtl/>
              </w:rPr>
              <w:t xml:space="preserve"> של אימוץ הכשר ונדרשים לתחקיר נוסף  הרלוונטי לזמן שבין התחקיר האחרון לתחקיר הנוכחי (דוג': מי שעבר תחקור בחמש השנים האחרונות בגוף אחר וקיימת הפסקת העסקה של מעל שנה ולא ניתן לבצע אימוץ הכשר).</w:t>
            </w:r>
            <w:r w:rsidRPr="005B4916">
              <w:rPr>
                <w:rFonts w:ascii="David" w:hAnsi="David" w:cs="David" w:hint="cs"/>
                <w:sz w:val="24"/>
                <w:szCs w:val="24"/>
                <w:rtl/>
              </w:rPr>
              <w:t xml:space="preserve">  </w:t>
            </w:r>
          </w:p>
        </w:tc>
      </w:tr>
      <w:tr w:rsidR="00B6414D" w:rsidRPr="00B6414D" w14:paraId="0EBC07F0" w14:textId="77777777" w:rsidTr="00B6414D">
        <w:trPr>
          <w:trHeight w:val="2103"/>
        </w:trPr>
        <w:tc>
          <w:tcPr>
            <w:tcW w:w="836" w:type="dxa"/>
          </w:tcPr>
          <w:p w14:paraId="0D2BFCCA" w14:textId="027D54F5" w:rsidR="00B6414D" w:rsidRPr="00B6414D" w:rsidRDefault="00B6414D" w:rsidP="00B6414D">
            <w:pPr>
              <w:rPr>
                <w:rFonts w:ascii="David" w:hAnsi="David" w:cs="David"/>
                <w:b/>
                <w:bCs/>
                <w:sz w:val="24"/>
                <w:szCs w:val="24"/>
                <w:rtl/>
              </w:rPr>
            </w:pPr>
            <w:r>
              <w:rPr>
                <w:rFonts w:ascii="David" w:hAnsi="David" w:cs="David" w:hint="cs"/>
                <w:b/>
                <w:bCs/>
                <w:sz w:val="24"/>
                <w:szCs w:val="24"/>
                <w:rtl/>
              </w:rPr>
              <w:t>2</w:t>
            </w:r>
          </w:p>
        </w:tc>
        <w:tc>
          <w:tcPr>
            <w:tcW w:w="1292" w:type="dxa"/>
          </w:tcPr>
          <w:p w14:paraId="6B8D7F29"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ד</w:t>
            </w:r>
          </w:p>
        </w:tc>
        <w:tc>
          <w:tcPr>
            <w:tcW w:w="957" w:type="dxa"/>
          </w:tcPr>
          <w:p w14:paraId="2E54476D"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10</w:t>
            </w:r>
          </w:p>
        </w:tc>
        <w:tc>
          <w:tcPr>
            <w:tcW w:w="3697" w:type="dxa"/>
          </w:tcPr>
          <w:p w14:paraId="7244DA11"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 xml:space="preserve">במידה והמשרד ביטל תחקיר – והמתחקר שריין את המועד - יהיה זה הוגן לקבוע פיצוי של 100% מהתמורה מעל </w:t>
            </w:r>
            <w:r w:rsidRPr="00B6414D">
              <w:rPr>
                <w:rFonts w:ascii="David" w:hAnsi="David" w:cs="David"/>
                <w:sz w:val="24"/>
                <w:szCs w:val="24"/>
              </w:rPr>
              <w:t>X</w:t>
            </w:r>
            <w:r w:rsidRPr="00B6414D">
              <w:rPr>
                <w:rFonts w:ascii="David" w:hAnsi="David" w:cs="David"/>
                <w:sz w:val="24"/>
                <w:szCs w:val="24"/>
                <w:rtl/>
              </w:rPr>
              <w:t xml:space="preserve"> ביטולים, לפי כללים שיקבע המזמין.  </w:t>
            </w:r>
          </w:p>
          <w:p w14:paraId="566EA43A"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בנוסף, נהוג לקבוע מנגנון פיצוי על איחור מתוחקר, (מעל שעה) לפי כללים שיקבע המזמין.</w:t>
            </w:r>
          </w:p>
        </w:tc>
        <w:tc>
          <w:tcPr>
            <w:tcW w:w="2572" w:type="dxa"/>
          </w:tcPr>
          <w:p w14:paraId="6D9F2E31"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הבקשה נדחית אין שינוי במסמכי המכרז</w:t>
            </w:r>
          </w:p>
        </w:tc>
      </w:tr>
      <w:tr w:rsidR="00B6414D" w:rsidRPr="00B6414D" w14:paraId="44189C6E" w14:textId="77777777" w:rsidTr="00B6414D">
        <w:trPr>
          <w:trHeight w:val="1980"/>
        </w:trPr>
        <w:tc>
          <w:tcPr>
            <w:tcW w:w="836" w:type="dxa"/>
          </w:tcPr>
          <w:p w14:paraId="5E8938A9" w14:textId="1D30DE99" w:rsidR="00B6414D" w:rsidRPr="00B6414D" w:rsidRDefault="00B6414D" w:rsidP="00B6414D">
            <w:pPr>
              <w:rPr>
                <w:rFonts w:ascii="David" w:hAnsi="David" w:cs="David"/>
                <w:b/>
                <w:bCs/>
                <w:sz w:val="24"/>
                <w:szCs w:val="24"/>
                <w:rtl/>
              </w:rPr>
            </w:pPr>
            <w:r>
              <w:rPr>
                <w:rFonts w:ascii="David" w:hAnsi="David" w:cs="David" w:hint="cs"/>
                <w:b/>
                <w:bCs/>
                <w:sz w:val="24"/>
                <w:szCs w:val="24"/>
                <w:rtl/>
              </w:rPr>
              <w:t>3</w:t>
            </w:r>
          </w:p>
        </w:tc>
        <w:tc>
          <w:tcPr>
            <w:tcW w:w="1292" w:type="dxa"/>
          </w:tcPr>
          <w:p w14:paraId="514F8742"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ד</w:t>
            </w:r>
          </w:p>
        </w:tc>
        <w:tc>
          <w:tcPr>
            <w:tcW w:w="957" w:type="dxa"/>
          </w:tcPr>
          <w:p w14:paraId="7304BCF9"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13</w:t>
            </w:r>
          </w:p>
        </w:tc>
        <w:tc>
          <w:tcPr>
            <w:tcW w:w="3697" w:type="dxa"/>
          </w:tcPr>
          <w:p w14:paraId="17D2A009"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הדרישה מהספק לערוך ולקיים ביטוח "ככל שנהוגים בתחום פעילותו" היא דרישה לא מידתית, לא סבירה ובמידה רבה לא בת ביצוע.</w:t>
            </w:r>
          </w:p>
          <w:p w14:paraId="06522B40"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 xml:space="preserve">א. פעולת התחקיר הביטחוני מתבצעת בידי מתחקרי תו תקן שהוסמכו ואושרו בידי היחידה להתאמה ביטחונית בשב"כ, מטעמו    וע"פ הנחיותיו. </w:t>
            </w:r>
          </w:p>
          <w:p w14:paraId="1951EFA6"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 xml:space="preserve">ב. לאור הניסיון המצטבר, פעולת התחקיר לא יכולה לייצר כל סיכון לנבדק מצד המתחקר, בוודאי לא כזה שניתן להצביע עליו או שהוא בר ביטוח. </w:t>
            </w:r>
          </w:p>
          <w:p w14:paraId="77636C06"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ג. במקרה של "אי התאמה", רשאי הנפגע מההחלטה להשיג בפני ועדה בראשות שופט מחוזי בדימוס. (חוק שב"כ סע' 15 (ב) (1). המתחקר או המזמין אינם צד בהליך ולא נושאים בכל אחריות בנוגע להחלטה.</w:t>
            </w:r>
          </w:p>
          <w:p w14:paraId="3C340F47"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ד. ע"פ חוק השב"כ, סע' 18 – "עובד השירות או הפועל מטעם השירות לא יישא באחריות פלילית או אזרחית למעשה או למחדל שעשה בתום לב ובאופן סביר במסגרת תפקידו ולשם מילויו"</w:t>
            </w:r>
          </w:p>
          <w:p w14:paraId="343ADC41" w14:textId="77777777" w:rsidR="00B6414D" w:rsidRPr="00B6414D" w:rsidRDefault="00B6414D" w:rsidP="00B6414D">
            <w:pPr>
              <w:rPr>
                <w:rFonts w:ascii="David" w:hAnsi="David" w:cs="David"/>
                <w:b/>
                <w:bCs/>
                <w:sz w:val="24"/>
                <w:szCs w:val="24"/>
                <w:rtl/>
              </w:rPr>
            </w:pPr>
            <w:r w:rsidRPr="00B6414D">
              <w:rPr>
                <w:rFonts w:ascii="David" w:hAnsi="David" w:cs="David"/>
                <w:sz w:val="24"/>
                <w:szCs w:val="24"/>
                <w:rtl/>
              </w:rPr>
              <w:t>ה. זאת ועוד, "מתחקר התאמה ביטחונית" אינו מוגדר מקצוע ובשוק הביטוח לא קיים מוצר ביטוחי המתאים</w:t>
            </w:r>
            <w:r w:rsidRPr="00B6414D">
              <w:rPr>
                <w:rFonts w:ascii="David" w:hAnsi="David" w:cs="David"/>
                <w:b/>
                <w:bCs/>
                <w:sz w:val="24"/>
                <w:szCs w:val="24"/>
                <w:rtl/>
              </w:rPr>
              <w:t xml:space="preserve"> </w:t>
            </w:r>
            <w:r w:rsidRPr="00B6414D">
              <w:rPr>
                <w:rFonts w:ascii="David" w:hAnsi="David" w:cs="David"/>
                <w:sz w:val="24"/>
                <w:szCs w:val="24"/>
                <w:rtl/>
              </w:rPr>
              <w:t>לעיסוק המתחקר.</w:t>
            </w:r>
          </w:p>
        </w:tc>
        <w:tc>
          <w:tcPr>
            <w:tcW w:w="2572" w:type="dxa"/>
          </w:tcPr>
          <w:p w14:paraId="51206BB3"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הבקשה נדחית.</w:t>
            </w:r>
          </w:p>
          <w:p w14:paraId="63D093CF" w14:textId="77777777" w:rsidR="00B6414D" w:rsidRPr="00B6414D" w:rsidRDefault="00B6414D" w:rsidP="00B6414D">
            <w:pPr>
              <w:rPr>
                <w:rFonts w:ascii="David" w:hAnsi="David" w:cs="David"/>
                <w:b/>
                <w:bCs/>
                <w:sz w:val="24"/>
                <w:szCs w:val="24"/>
                <w:rtl/>
              </w:rPr>
            </w:pPr>
          </w:p>
          <w:p w14:paraId="53C3479C"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אין שינוי במסמכי המכרז.</w:t>
            </w:r>
          </w:p>
          <w:p w14:paraId="059F1C98" w14:textId="77777777" w:rsidR="00B6414D" w:rsidRPr="00B6414D" w:rsidRDefault="00B6414D" w:rsidP="00B6414D">
            <w:pPr>
              <w:rPr>
                <w:rFonts w:ascii="David" w:hAnsi="David" w:cs="David"/>
                <w:sz w:val="24"/>
                <w:szCs w:val="24"/>
                <w:highlight w:val="yellow"/>
                <w:rtl/>
              </w:rPr>
            </w:pPr>
            <w:r w:rsidRPr="00B6414D">
              <w:rPr>
                <w:rFonts w:ascii="David" w:hAnsi="David" w:cs="David"/>
                <w:sz w:val="24"/>
                <w:szCs w:val="24"/>
                <w:rtl/>
              </w:rPr>
              <w:t>על הספק לערוך ביטוחים סבירים והולמים הנהוגים בתחום פעילותו כאמור בדרישות הביטוח המופיעות במכרז.</w:t>
            </w:r>
          </w:p>
        </w:tc>
      </w:tr>
      <w:tr w:rsidR="00B6414D" w:rsidRPr="00B6414D" w14:paraId="74D0D585" w14:textId="77777777" w:rsidTr="00B6414D">
        <w:trPr>
          <w:trHeight w:val="1980"/>
        </w:trPr>
        <w:tc>
          <w:tcPr>
            <w:tcW w:w="836" w:type="dxa"/>
          </w:tcPr>
          <w:p w14:paraId="7F35FE0D" w14:textId="76D851C6" w:rsidR="00B6414D" w:rsidRPr="00B6414D" w:rsidRDefault="00B6414D" w:rsidP="00B6414D">
            <w:pPr>
              <w:rPr>
                <w:rFonts w:ascii="David" w:hAnsi="David" w:cs="David"/>
                <w:b/>
                <w:bCs/>
                <w:sz w:val="24"/>
                <w:szCs w:val="24"/>
                <w:rtl/>
              </w:rPr>
            </w:pPr>
            <w:r>
              <w:rPr>
                <w:rFonts w:ascii="David" w:hAnsi="David" w:cs="David" w:hint="cs"/>
                <w:b/>
                <w:bCs/>
                <w:sz w:val="24"/>
                <w:szCs w:val="24"/>
                <w:rtl/>
              </w:rPr>
              <w:lastRenderedPageBreak/>
              <w:t>4</w:t>
            </w:r>
          </w:p>
        </w:tc>
        <w:tc>
          <w:tcPr>
            <w:tcW w:w="1292" w:type="dxa"/>
          </w:tcPr>
          <w:p w14:paraId="55602D9C"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1</w:t>
            </w:r>
          </w:p>
        </w:tc>
        <w:tc>
          <w:tcPr>
            <w:tcW w:w="957" w:type="dxa"/>
          </w:tcPr>
          <w:p w14:paraId="65C2A14C" w14:textId="77777777" w:rsidR="00B6414D" w:rsidRPr="00B6414D" w:rsidRDefault="00B6414D" w:rsidP="00B6414D">
            <w:pPr>
              <w:rPr>
                <w:rFonts w:ascii="David" w:hAnsi="David" w:cs="David"/>
                <w:b/>
                <w:bCs/>
                <w:sz w:val="24"/>
                <w:szCs w:val="24"/>
                <w:rtl/>
              </w:rPr>
            </w:pPr>
          </w:p>
        </w:tc>
        <w:tc>
          <w:tcPr>
            <w:tcW w:w="3697" w:type="dxa"/>
          </w:tcPr>
          <w:p w14:paraId="76B2C276" w14:textId="77777777" w:rsidR="00B6414D" w:rsidRPr="00B6414D" w:rsidRDefault="00B6414D" w:rsidP="00B6414D">
            <w:pPr>
              <w:rPr>
                <w:rFonts w:ascii="David" w:hAnsi="David" w:cs="David"/>
                <w:sz w:val="24"/>
                <w:szCs w:val="24"/>
                <w:rtl/>
              </w:rPr>
            </w:pPr>
          </w:p>
          <w:p w14:paraId="42DB319D" w14:textId="77777777" w:rsidR="00B6414D" w:rsidRPr="00B6414D" w:rsidRDefault="00B6414D" w:rsidP="00B6414D">
            <w:pPr>
              <w:rPr>
                <w:rFonts w:ascii="David" w:hAnsi="David" w:cs="David"/>
                <w:sz w:val="24"/>
                <w:szCs w:val="24"/>
              </w:rPr>
            </w:pPr>
            <w:r w:rsidRPr="00B6414D">
              <w:rPr>
                <w:rFonts w:ascii="David" w:hAnsi="David" w:cs="David"/>
                <w:sz w:val="24"/>
                <w:szCs w:val="24"/>
                <w:rtl/>
              </w:rPr>
              <w:t>לפי הוראות שב"כ (מכתב 543 בנושא משנת 2021) חל איסור לפרסם את שמות הזוכים במכרז באתרי הממשל או אחרים. אין לדבר ביטוי במכרז/הסכם. </w:t>
            </w:r>
          </w:p>
          <w:p w14:paraId="6E0B1A8A" w14:textId="77777777" w:rsidR="00B6414D" w:rsidRPr="00B6414D" w:rsidRDefault="00B6414D" w:rsidP="00B6414D">
            <w:pPr>
              <w:rPr>
                <w:rFonts w:ascii="David" w:hAnsi="David" w:cs="David"/>
                <w:sz w:val="24"/>
                <w:szCs w:val="24"/>
                <w:rtl/>
              </w:rPr>
            </w:pPr>
          </w:p>
        </w:tc>
        <w:tc>
          <w:tcPr>
            <w:tcW w:w="2572" w:type="dxa"/>
          </w:tcPr>
          <w:p w14:paraId="3B061D6A"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המשרד יפעל על פי כל דין ובהתאם לכללי מנהל תקין</w:t>
            </w:r>
          </w:p>
          <w:p w14:paraId="74A339F4" w14:textId="77777777" w:rsidR="00B6414D" w:rsidRPr="00B6414D" w:rsidRDefault="00B6414D" w:rsidP="00B6414D">
            <w:pPr>
              <w:rPr>
                <w:rFonts w:ascii="David" w:hAnsi="David" w:cs="David"/>
                <w:sz w:val="24"/>
                <w:szCs w:val="24"/>
                <w:rtl/>
              </w:rPr>
            </w:pPr>
          </w:p>
          <w:p w14:paraId="34F34CAA" w14:textId="77777777" w:rsidR="00B6414D" w:rsidRPr="00B6414D" w:rsidRDefault="00B6414D" w:rsidP="00B6414D">
            <w:pPr>
              <w:rPr>
                <w:rFonts w:ascii="David" w:hAnsi="David" w:cs="David"/>
                <w:sz w:val="24"/>
                <w:szCs w:val="24"/>
                <w:highlight w:val="green"/>
                <w:rtl/>
              </w:rPr>
            </w:pPr>
            <w:r w:rsidRPr="00B6414D">
              <w:rPr>
                <w:rFonts w:ascii="David" w:hAnsi="David" w:cs="David"/>
                <w:sz w:val="24"/>
                <w:szCs w:val="24"/>
                <w:rtl/>
              </w:rPr>
              <w:t>המשרד יפעל כפי שנהג בהליכים הקודמים, תוך שמירה על פרטיות המתחקרים לרבות: מחיקת שמותיהם ופרטים מזהים במקומות הרלוונטיים, טרם הפרסום.</w:t>
            </w:r>
          </w:p>
        </w:tc>
      </w:tr>
      <w:tr w:rsidR="00B6414D" w:rsidRPr="00B6414D" w14:paraId="096AF1F7" w14:textId="77777777" w:rsidTr="00B6414D">
        <w:trPr>
          <w:trHeight w:val="1980"/>
        </w:trPr>
        <w:tc>
          <w:tcPr>
            <w:tcW w:w="836" w:type="dxa"/>
          </w:tcPr>
          <w:p w14:paraId="0A9C3F43" w14:textId="63C600A1" w:rsidR="00B6414D" w:rsidRPr="00B6414D" w:rsidRDefault="00B6414D" w:rsidP="00B6414D">
            <w:pPr>
              <w:rPr>
                <w:rFonts w:ascii="David" w:hAnsi="David" w:cs="David"/>
                <w:b/>
                <w:bCs/>
                <w:sz w:val="24"/>
                <w:szCs w:val="24"/>
              </w:rPr>
            </w:pPr>
            <w:r>
              <w:rPr>
                <w:rFonts w:ascii="David" w:hAnsi="David" w:cs="David" w:hint="cs"/>
                <w:b/>
                <w:bCs/>
                <w:sz w:val="24"/>
                <w:szCs w:val="24"/>
                <w:rtl/>
              </w:rPr>
              <w:t>5</w:t>
            </w:r>
          </w:p>
        </w:tc>
        <w:tc>
          <w:tcPr>
            <w:tcW w:w="1292" w:type="dxa"/>
          </w:tcPr>
          <w:p w14:paraId="2733AF34" w14:textId="77777777" w:rsidR="00B6414D" w:rsidRPr="00B6414D" w:rsidRDefault="00B6414D" w:rsidP="00B6414D">
            <w:pPr>
              <w:rPr>
                <w:rFonts w:ascii="David" w:hAnsi="David" w:cs="David"/>
                <w:b/>
                <w:bCs/>
                <w:sz w:val="24"/>
                <w:szCs w:val="24"/>
                <w:rtl/>
              </w:rPr>
            </w:pPr>
            <w:r w:rsidRPr="00B6414D">
              <w:rPr>
                <w:rFonts w:ascii="David" w:hAnsi="David" w:cs="David"/>
                <w:b/>
                <w:bCs/>
                <w:sz w:val="24"/>
                <w:szCs w:val="24"/>
                <w:rtl/>
              </w:rPr>
              <w:t>2</w:t>
            </w:r>
          </w:p>
        </w:tc>
        <w:tc>
          <w:tcPr>
            <w:tcW w:w="957" w:type="dxa"/>
          </w:tcPr>
          <w:p w14:paraId="04D52AC5" w14:textId="77777777" w:rsidR="00B6414D" w:rsidRPr="00B6414D" w:rsidRDefault="00B6414D" w:rsidP="00B6414D">
            <w:pPr>
              <w:rPr>
                <w:rFonts w:ascii="David" w:hAnsi="David" w:cs="David"/>
                <w:b/>
                <w:bCs/>
                <w:sz w:val="24"/>
                <w:szCs w:val="24"/>
                <w:rtl/>
              </w:rPr>
            </w:pPr>
          </w:p>
        </w:tc>
        <w:tc>
          <w:tcPr>
            <w:tcW w:w="3697" w:type="dxa"/>
          </w:tcPr>
          <w:p w14:paraId="00D688FC" w14:textId="77777777" w:rsidR="00B6414D" w:rsidRPr="00B6414D" w:rsidRDefault="00B6414D" w:rsidP="00B6414D">
            <w:pPr>
              <w:rPr>
                <w:rFonts w:ascii="David" w:hAnsi="David" w:cs="David"/>
                <w:sz w:val="24"/>
                <w:szCs w:val="24"/>
              </w:rPr>
            </w:pPr>
            <w:r w:rsidRPr="00B6414D">
              <w:rPr>
                <w:rFonts w:ascii="David" w:hAnsi="David" w:cs="David"/>
                <w:sz w:val="24"/>
                <w:szCs w:val="24"/>
                <w:rtl/>
              </w:rPr>
              <w:t>המתחקרים חוסים תחת הגנת סעיף 18 לחוק שב"כ ולכן אינם נדרשים לביטוח.</w:t>
            </w:r>
            <w:r w:rsidRPr="00B6414D">
              <w:rPr>
                <w:rFonts w:ascii="David" w:hAnsi="David" w:cs="David"/>
                <w:sz w:val="24"/>
                <w:szCs w:val="24"/>
                <w:rtl/>
              </w:rPr>
              <w:br/>
              <w:t>   יתרה מכך, האיסור לחשוף מתחקרים זוכים במרשתת, ודאי חל גם למול חברות ביטוח. נדרש להסיר את הסעיף מהמכרז/הסכם.  </w:t>
            </w:r>
          </w:p>
          <w:p w14:paraId="4151CE9D" w14:textId="77777777" w:rsidR="00B6414D" w:rsidRPr="00B6414D" w:rsidRDefault="00B6414D" w:rsidP="00B6414D">
            <w:pPr>
              <w:rPr>
                <w:rFonts w:ascii="David" w:hAnsi="David" w:cs="David"/>
                <w:sz w:val="24"/>
                <w:szCs w:val="24"/>
                <w:rtl/>
              </w:rPr>
            </w:pPr>
          </w:p>
        </w:tc>
        <w:tc>
          <w:tcPr>
            <w:tcW w:w="2572" w:type="dxa"/>
          </w:tcPr>
          <w:p w14:paraId="7A70372C"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הבקשה נדחית.</w:t>
            </w:r>
          </w:p>
          <w:p w14:paraId="3E018BFE" w14:textId="77777777" w:rsidR="00B6414D" w:rsidRPr="00B6414D" w:rsidRDefault="00B6414D" w:rsidP="00B6414D">
            <w:pPr>
              <w:rPr>
                <w:rFonts w:ascii="David" w:hAnsi="David" w:cs="David"/>
                <w:b/>
                <w:bCs/>
                <w:sz w:val="24"/>
                <w:szCs w:val="24"/>
                <w:rtl/>
              </w:rPr>
            </w:pPr>
          </w:p>
          <w:p w14:paraId="5C647699"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אין שינוי במסמכי המכרז.</w:t>
            </w:r>
          </w:p>
          <w:p w14:paraId="1526B7EE" w14:textId="77777777" w:rsidR="00B6414D" w:rsidRPr="00B6414D" w:rsidRDefault="00B6414D" w:rsidP="00B6414D">
            <w:pPr>
              <w:rPr>
                <w:rFonts w:ascii="David" w:hAnsi="David" w:cs="David"/>
                <w:sz w:val="24"/>
                <w:szCs w:val="24"/>
                <w:rtl/>
              </w:rPr>
            </w:pPr>
            <w:r w:rsidRPr="00B6414D">
              <w:rPr>
                <w:rFonts w:ascii="David" w:hAnsi="David" w:cs="David"/>
                <w:sz w:val="24"/>
                <w:szCs w:val="24"/>
                <w:rtl/>
              </w:rPr>
              <w:t xml:space="preserve">על הספק לערוך ביטוחים סבירים והולמים הנהוגים בתחום פעילותו כאמור בדרישות הביטוח המופיעות במכרז. </w:t>
            </w:r>
          </w:p>
        </w:tc>
      </w:tr>
    </w:tbl>
    <w:p w14:paraId="65635A3C" w14:textId="2F89969A" w:rsidR="00506160" w:rsidRPr="00B6414D" w:rsidRDefault="00506160" w:rsidP="00506160">
      <w:pPr>
        <w:rPr>
          <w:rFonts w:ascii="David" w:hAnsi="David" w:cs="David"/>
          <w:sz w:val="24"/>
          <w:szCs w:val="24"/>
          <w:rtl/>
        </w:rPr>
      </w:pPr>
    </w:p>
    <w:p w14:paraId="4C634D83" w14:textId="18A183F1" w:rsidR="00506160" w:rsidRPr="00B6414D" w:rsidRDefault="00506160" w:rsidP="00506160">
      <w:pPr>
        <w:rPr>
          <w:rFonts w:ascii="David" w:hAnsi="David" w:cs="David"/>
          <w:sz w:val="24"/>
          <w:szCs w:val="24"/>
          <w:rtl/>
        </w:rPr>
      </w:pPr>
    </w:p>
    <w:p w14:paraId="3DA94BB9" w14:textId="1C44063F" w:rsidR="00506160" w:rsidRPr="00B6414D" w:rsidRDefault="00506160" w:rsidP="00506160">
      <w:pPr>
        <w:tabs>
          <w:tab w:val="left" w:pos="1382"/>
        </w:tabs>
        <w:rPr>
          <w:rFonts w:ascii="David" w:hAnsi="David" w:cs="David"/>
          <w:sz w:val="24"/>
          <w:szCs w:val="24"/>
        </w:rPr>
      </w:pPr>
    </w:p>
    <w:p w14:paraId="326F45FF" w14:textId="77777777" w:rsidR="00B6414D" w:rsidRPr="00B6414D" w:rsidRDefault="00B6414D">
      <w:pPr>
        <w:tabs>
          <w:tab w:val="left" w:pos="1382"/>
        </w:tabs>
        <w:rPr>
          <w:rFonts w:ascii="David" w:hAnsi="David" w:cs="David"/>
          <w:sz w:val="24"/>
          <w:szCs w:val="24"/>
        </w:rPr>
      </w:pPr>
    </w:p>
    <w:sectPr w:rsidR="00B6414D" w:rsidRPr="00B6414D" w:rsidSect="004C0A0F">
      <w:pgSz w:w="11906" w:h="16838" w:code="9"/>
      <w:pgMar w:top="1440" w:right="1797" w:bottom="1440" w:left="1797" w:header="720" w:footer="720" w:gutter="0"/>
      <w:cols w:space="708"/>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7F73B9" w14:textId="77777777" w:rsidR="00323D93" w:rsidRDefault="00323D93" w:rsidP="001E5B59">
      <w:pPr>
        <w:spacing w:after="0" w:line="240" w:lineRule="auto"/>
      </w:pPr>
      <w:r>
        <w:separator/>
      </w:r>
    </w:p>
  </w:endnote>
  <w:endnote w:type="continuationSeparator" w:id="0">
    <w:p w14:paraId="30913E55" w14:textId="77777777" w:rsidR="00323D93" w:rsidRDefault="00323D93" w:rsidP="001E5B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5EF9AF" w14:textId="77777777" w:rsidR="00323D93" w:rsidRDefault="00323D93" w:rsidP="001E5B59">
      <w:pPr>
        <w:spacing w:after="0" w:line="240" w:lineRule="auto"/>
      </w:pPr>
      <w:r>
        <w:separator/>
      </w:r>
    </w:p>
  </w:footnote>
  <w:footnote w:type="continuationSeparator" w:id="0">
    <w:p w14:paraId="464C6E59" w14:textId="77777777" w:rsidR="00323D93" w:rsidRDefault="00323D93" w:rsidP="001E5B5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20"/>
  <w:drawingGridHorizontalSpacing w:val="120"/>
  <w:drawingGridVerticalSpacing w:val="163"/>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6160"/>
    <w:rsid w:val="001B17DE"/>
    <w:rsid w:val="001E5B59"/>
    <w:rsid w:val="00221FFD"/>
    <w:rsid w:val="00240913"/>
    <w:rsid w:val="00271E8A"/>
    <w:rsid w:val="002E0347"/>
    <w:rsid w:val="00323D93"/>
    <w:rsid w:val="00386541"/>
    <w:rsid w:val="004C0A0F"/>
    <w:rsid w:val="00506160"/>
    <w:rsid w:val="005B4916"/>
    <w:rsid w:val="006C5A39"/>
    <w:rsid w:val="0076432A"/>
    <w:rsid w:val="0077530F"/>
    <w:rsid w:val="007A44B5"/>
    <w:rsid w:val="007C6A4F"/>
    <w:rsid w:val="007C7358"/>
    <w:rsid w:val="009C39D3"/>
    <w:rsid w:val="00A5727A"/>
    <w:rsid w:val="00AA49B2"/>
    <w:rsid w:val="00AB6A21"/>
    <w:rsid w:val="00AF5F6D"/>
    <w:rsid w:val="00B6414D"/>
    <w:rsid w:val="00CC3E2F"/>
    <w:rsid w:val="00CF39AD"/>
    <w:rsid w:val="00D75696"/>
    <w:rsid w:val="00E160D6"/>
    <w:rsid w:val="00E440A0"/>
    <w:rsid w:val="00EE3C70"/>
    <w:rsid w:val="00F12D87"/>
    <w:rsid w:val="00F962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165FDB"/>
  <w15:chartTrackingRefBased/>
  <w15:docId w15:val="{A083BF69-5276-42D6-A580-189789BD1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061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1E5B59"/>
    <w:pPr>
      <w:tabs>
        <w:tab w:val="center" w:pos="4153"/>
        <w:tab w:val="right" w:pos="8306"/>
      </w:tabs>
      <w:spacing w:after="0" w:line="240" w:lineRule="auto"/>
    </w:pPr>
  </w:style>
  <w:style w:type="character" w:customStyle="1" w:styleId="a5">
    <w:name w:val="כותרת עליונה תו"/>
    <w:basedOn w:val="a0"/>
    <w:link w:val="a4"/>
    <w:uiPriority w:val="99"/>
    <w:rsid w:val="001E5B59"/>
  </w:style>
  <w:style w:type="paragraph" w:styleId="a6">
    <w:name w:val="footer"/>
    <w:basedOn w:val="a"/>
    <w:link w:val="a7"/>
    <w:uiPriority w:val="99"/>
    <w:unhideWhenUsed/>
    <w:rsid w:val="001E5B59"/>
    <w:pPr>
      <w:tabs>
        <w:tab w:val="center" w:pos="4153"/>
        <w:tab w:val="right" w:pos="8306"/>
      </w:tabs>
      <w:spacing w:after="0" w:line="240" w:lineRule="auto"/>
    </w:pPr>
  </w:style>
  <w:style w:type="character" w:customStyle="1" w:styleId="a7">
    <w:name w:val="כותרת תחתונה תו"/>
    <w:basedOn w:val="a0"/>
    <w:link w:val="a6"/>
    <w:uiPriority w:val="99"/>
    <w:rsid w:val="001E5B59"/>
  </w:style>
  <w:style w:type="character" w:styleId="a8">
    <w:name w:val="annotation reference"/>
    <w:basedOn w:val="a0"/>
    <w:uiPriority w:val="99"/>
    <w:semiHidden/>
    <w:unhideWhenUsed/>
    <w:rsid w:val="00AB6A21"/>
    <w:rPr>
      <w:sz w:val="16"/>
      <w:szCs w:val="16"/>
    </w:rPr>
  </w:style>
  <w:style w:type="paragraph" w:styleId="a9">
    <w:name w:val="annotation text"/>
    <w:basedOn w:val="a"/>
    <w:link w:val="aa"/>
    <w:uiPriority w:val="99"/>
    <w:semiHidden/>
    <w:unhideWhenUsed/>
    <w:rsid w:val="00AB6A21"/>
    <w:pPr>
      <w:spacing w:line="240" w:lineRule="auto"/>
    </w:pPr>
    <w:rPr>
      <w:sz w:val="20"/>
      <w:szCs w:val="20"/>
    </w:rPr>
  </w:style>
  <w:style w:type="character" w:customStyle="1" w:styleId="aa">
    <w:name w:val="טקסט הערה תו"/>
    <w:basedOn w:val="a0"/>
    <w:link w:val="a9"/>
    <w:uiPriority w:val="99"/>
    <w:semiHidden/>
    <w:rsid w:val="00AB6A21"/>
    <w:rPr>
      <w:sz w:val="20"/>
      <w:szCs w:val="20"/>
    </w:rPr>
  </w:style>
  <w:style w:type="paragraph" w:styleId="ab">
    <w:name w:val="annotation subject"/>
    <w:basedOn w:val="a9"/>
    <w:next w:val="a9"/>
    <w:link w:val="ac"/>
    <w:uiPriority w:val="99"/>
    <w:semiHidden/>
    <w:unhideWhenUsed/>
    <w:rsid w:val="00AB6A21"/>
    <w:rPr>
      <w:b/>
      <w:bCs/>
    </w:rPr>
  </w:style>
  <w:style w:type="character" w:customStyle="1" w:styleId="ac">
    <w:name w:val="נושא הערה תו"/>
    <w:basedOn w:val="aa"/>
    <w:link w:val="ab"/>
    <w:uiPriority w:val="99"/>
    <w:semiHidden/>
    <w:rsid w:val="00AB6A2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8822205">
      <w:bodyDiv w:val="1"/>
      <w:marLeft w:val="0"/>
      <w:marRight w:val="0"/>
      <w:marTop w:val="0"/>
      <w:marBottom w:val="0"/>
      <w:divBdr>
        <w:top w:val="none" w:sz="0" w:space="0" w:color="auto"/>
        <w:left w:val="none" w:sz="0" w:space="0" w:color="auto"/>
        <w:bottom w:val="none" w:sz="0" w:space="0" w:color="auto"/>
        <w:right w:val="none" w:sz="0" w:space="0" w:color="auto"/>
      </w:divBdr>
    </w:div>
    <w:div w:id="2029133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d0fec014-2480-4c0c-839b-35087546b5a2">28238225</AutoNumber>
    <SDDocumentSource xmlns="d0fec014-2480-4c0c-839b-35087546b5a2">SDFileUpload</SDDocumentSource>
    <MailPone xmlns="d0fec014-2480-4c0c-839b-35087546b5a2">AdiReuv@justice.gov.il</MailPone>
    <SDHebDate xmlns="d0fec014-2480-4c0c-839b-35087546b5a2">כ"ט בתשרי, התשפ"ו</SDHebDate>
    <SDNumOfSignatures xmlns="d0fec014-2480-4c0c-839b-35087546b5a2" xsi:nil="true"/>
    <SDSignersLogins xmlns="d0fec014-2480-4c0c-839b-35087546b5a2" xsi:nil="true"/>
    <SugYeutzKeren xmlns="d0fec014-2480-4c0c-839b-35087546b5a2">מכרז/הסכם</SugYeutzKeren>
    <SDAsmachta xmlns="d0fec014-2480-4c0c-839b-35087546b5a2" xsi:nil="true"/>
    <MevutachKeren xmlns="d0fec014-2480-4c0c-839b-35087546b5a2">משרד המשפטים</MevutachKeren>
    <SugTikNo xmlns="d0fec014-2480-4c0c-839b-35087546b5a2">55551</SugTikNo>
    <SDImportance xmlns="d0fec014-2480-4c0c-839b-35087546b5a2">0</SDImportance>
    <SDLastSigningDate xmlns="d0fec014-2480-4c0c-839b-35087546b5a2" xsi:nil="true"/>
    <PniyaNumber xmlns="d0fec014-2480-4c0c-839b-35087546b5a2">1</PniyaNumber>
    <SDOfflineTo xmlns="d0fec014-2480-4c0c-839b-35087546b5a2" xsi:nil="true"/>
    <ShemPone xmlns="d0fec014-2480-4c0c-839b-35087546b5a2">עדי ראובני</ShemPone>
    <SDAuthor xmlns="d0fec014-2480-4c0c-839b-35087546b5a2">Chen Omer</SDAuthor>
    <UserNameHeb xmlns="d0fec014-2480-4c0c-839b-35087546b5a2">חן עומר</UserNameHeb>
    <SDDocDate xmlns="d0fec014-2480-4c0c-839b-35087546b5a2">2025-10-21T08:09:59+00:00</SDDocDate>
    <SDOriginalID xmlns="d0fec014-2480-4c0c-839b-35087546b5a2" xsi:nil="true"/>
    <NoseYeutz xmlns="d0fec014-2480-4c0c-839b-35087546b5a2">אבטחה</NoseYeutz>
    <UserNameJob xmlns="d0fec014-2480-4c0c-839b-35087546b5a2">רפרנט ייעוץ ביטוחי</UserNameJob>
    <TviaNo xmlns="d0fec014-2480-4c0c-839b-35087546b5a2">1234</TviaNo>
    <YeutzTikBituchNumber xmlns="d0fec014-2480-4c0c-839b-35087546b5a2">10398</YeutzTikBituchNumber>
    <SDExternalEntityConnected xmlns="d0fec014-2480-4c0c-839b-35087546b5a2">false</SDExternalEntityConnected>
    <SDCategories xmlns="d0fec014-2480-4c0c-839b-35087546b5a2" xsi:nil="true"/>
    <SDCategoryID xmlns="d0fec014-2480-4c0c-839b-35087546b5a2" xsi:nil="true"/>
    <TikNo xmlns="d0fec014-2480-4c0c-839b-35087546b5a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ייעוץ ביטוחי חדש" ma:contentTypeID="0x0101001EEFB1AD3257CD47A8028FE87FA0D66A3900FE2BA811C35D3E42BEBDA649DEA31C0D" ma:contentTypeVersion="29" ma:contentTypeDescription="צור מסמך חדש." ma:contentTypeScope="" ma:versionID="2747572b8f9cb86b9b88a9045661863f">
  <xsd:schema xmlns:xsd="http://www.w3.org/2001/XMLSchema" xmlns:xs="http://www.w3.org/2001/XMLSchema" xmlns:p="http://schemas.microsoft.com/office/2006/metadata/properties" xmlns:ns1="d0fec014-2480-4c0c-839b-35087546b5a2" targetNamespace="http://schemas.microsoft.com/office/2006/metadata/properties" ma:root="true" ma:fieldsID="b073854229284078449ccf410d5a4986" ns1:_="">
    <xsd:import namespace="d0fec014-2480-4c0c-839b-35087546b5a2"/>
    <xsd:element name="properties">
      <xsd:complexType>
        <xsd:sequence>
          <xsd:element name="documentManagement">
            <xsd:complexType>
              <xsd:all>
                <xsd:element ref="ns1:YeutzTikBituchNumber" minOccurs="0"/>
                <xsd:element ref="ns1:PniyaNumber" minOccurs="0"/>
                <xsd:element ref="ns1:SugYeutzKeren" minOccurs="0"/>
                <xsd:element ref="ns1:NoseYeutz" minOccurs="0"/>
                <xsd:element ref="ns1:MevutachKeren" minOccurs="0"/>
                <xsd:element ref="ns1:SDImportance" minOccurs="0"/>
                <xsd:element ref="ns1:SDLastSigningDate" minOccurs="0"/>
                <xsd:element ref="ns1:SDNumOfSignatures" minOccurs="0"/>
                <xsd:element ref="ns1:SDSignersLogins" minOccurs="0"/>
                <xsd:element ref="ns1:SDExternalEntityConnected" minOccurs="0"/>
                <xsd:element ref="ns1:SDCategories" minOccurs="0"/>
                <xsd:element ref="ns1:SDCategoryID" minOccurs="0"/>
                <xsd:element ref="ns1:SDDocumentSource" minOccurs="0"/>
                <xsd:element ref="ns1:AutoNumber" minOccurs="0"/>
                <xsd:element ref="ns1:SDDocDate" minOccurs="0"/>
                <xsd:element ref="ns1:SDAuthor" minOccurs="0"/>
                <xsd:element ref="ns1:SDHebDate" minOccurs="0"/>
                <xsd:element ref="ns1:SDOriginalID" minOccurs="0"/>
                <xsd:element ref="ns1:SDOfflineTo" minOccurs="0"/>
                <xsd:element ref="ns1:SDAsmachta" minOccurs="0"/>
                <xsd:element ref="ns1:UserNameHeb" minOccurs="0"/>
                <xsd:element ref="ns1:UserNameJob" minOccurs="0"/>
                <xsd:element ref="ns1:SugTikNo" minOccurs="0"/>
                <xsd:element ref="ns1:TikNo" minOccurs="0"/>
                <xsd:element ref="ns1:TviaNo" minOccurs="0"/>
                <xsd:element ref="ns1:ShemPone" minOccurs="0"/>
                <xsd:element ref="ns1:MailPo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fec014-2480-4c0c-839b-35087546b5a2" elementFormDefault="qualified">
    <xsd:import namespace="http://schemas.microsoft.com/office/2006/documentManagement/types"/>
    <xsd:import namespace="http://schemas.microsoft.com/office/infopath/2007/PartnerControls"/>
    <xsd:element name="YeutzTikBituchNumber" ma:index="0" nillable="true" ma:displayName="מס' תיק ייעוץ" ma:internalName="YeutzTikBituchNumber" ma:readOnly="false">
      <xsd:simpleType>
        <xsd:restriction base="dms:Text">
          <xsd:maxLength value="255"/>
        </xsd:restriction>
      </xsd:simpleType>
    </xsd:element>
    <xsd:element name="PniyaNumber" ma:index="1" nillable="true" ma:displayName="מס' פניה" ma:internalName="PniyaNumber" ma:readOnly="false">
      <xsd:simpleType>
        <xsd:restriction base="dms:Text">
          <xsd:maxLength value="255"/>
        </xsd:restriction>
      </xsd:simpleType>
    </xsd:element>
    <xsd:element name="SugYeutzKeren" ma:index="2" nillable="true" ma:displayName="סוג ייעוץ" ma:format="Dropdown" ma:internalName="SugYeutzKeren" ma:readOnly="false">
      <xsd:simpleType>
        <xsd:restriction base="dms:Choice">
          <xsd:enumeration value="מכרז/הסכם"/>
          <xsd:enumeration value="הזמנת רכש/הצעת מחיר"/>
        </xsd:restriction>
      </xsd:simpleType>
    </xsd:element>
    <xsd:element name="NoseYeutz" ma:index="3" nillable="true" ma:displayName="נושא ייעוץ" ma:format="Dropdown" ma:internalName="NoseYeutz" ma:readOnly="false">
      <xsd:simpleType>
        <xsd:restriction base="dms:Choice">
          <xsd:enumeration value="אבטחה"/>
          <xsd:enumeration value="אוירי/ימי"/>
          <xsd:enumeration value="אספקת גז ודלק ונדל&quot;ן"/>
          <xsd:enumeration value="בדיקות מעבדה ודגימות"/>
          <xsd:enumeration value="ביטוחי:B.O.T/P.F.I"/>
          <xsd:enumeration value="בינלאומי (אנגלית)"/>
          <xsd:enumeration value="ביקורת חשבונאית וראיית חשבון"/>
          <xsd:enumeration value="בניה-עבודות קבלניות גדולות"/>
          <xsd:enumeration value="בקר-ביקורת ושירותי מעבדה"/>
          <xsd:enumeration value="בקרה ביקורת תקנים ושמאות"/>
          <xsd:enumeration value="בקרת מוסדות חינוך"/>
          <xsd:enumeration value="בריאות הנפש"/>
          <xsd:enumeration value="בתי אבות ומעונות"/>
          <xsd:enumeration value="גביה וכספים"/>
          <xsd:enumeration value="גינון"/>
          <xsd:enumeration value="דפוס ועיצוב גרפי"/>
          <xsd:enumeration value="דרישות מיוחדות/צרכים מיוחדים"/>
          <xsd:enumeration value="הובלות והפצה"/>
          <xsd:enumeration value="הכנת מכרזים נוהלים והנחות"/>
          <xsd:enumeration value="הפקת אירועים/השתלמויות/שרותי אירוח"/>
          <xsd:enumeration value="הצעות/מפרטי יעוץ"/>
          <xsd:enumeration value="הריסות/פינויים/אחסון"/>
          <xsd:enumeration value="השקעות ויזמות"/>
          <xsd:enumeration value="התקנת ושדרוג מערכות וצמודי מבנה"/>
          <xsd:enumeration value="חברות מנהלות/מינהלות"/>
          <xsd:enumeration value="חדרי כושר וספורט"/>
          <xsd:enumeration value="חינוך/קורסים/סדנאות"/>
          <xsd:enumeration value="חקירות"/>
          <xsd:enumeration value="חקלאות - צומח/חי"/>
          <xsd:enumeration value="טיסות"/>
          <xsd:enumeration value="יועצים/מתכננים"/>
          <xsd:enumeration value="כח אדם"/>
          <xsd:enumeration value="כללי"/>
          <xsd:enumeration value="מזון"/>
          <xsd:enumeration value="מחקרים וסקרים"/>
          <xsd:enumeration value="מחשוב"/>
          <xsd:enumeration value="מידע"/>
          <xsd:enumeration value="מיפוי"/>
          <xsd:enumeration value="ממוני בטיחות"/>
          <xsd:enumeration value="מערכות בקרה ושליטה"/>
          <xsd:enumeration value="מערכות גילוי וכיבוי אש"/>
          <xsd:enumeration value="נופש וטיולים/קייטנות"/>
          <xsd:enumeration value="ניקיון"/>
          <xsd:enumeration value="נשק"/>
          <xsd:enumeration value="ספרינקלרים"/>
          <xsd:enumeration value="עבודות קטנות"/>
          <xsd:enumeration value="פסולת וחומרים מסוכנים"/>
          <xsd:enumeration value="פעילות בחוץ לארץ"/>
          <xsd:enumeration value="צילום/שידורי רדיו/טלויזיה"/>
          <xsd:enumeration value="צנרת והנחת קווי מים וביוב"/>
          <xsd:enumeration value="רכב/מוסכים/חנייה/הסעות"/>
          <xsd:enumeration value="רכישת/השכרת ציוד"/>
          <xsd:enumeration value="שיפוצים"/>
          <xsd:enumeration value="שירות לאומי"/>
          <xsd:enumeration value="שירותי גניזה וארכיב"/>
          <xsd:enumeration value="שירותי דת"/>
          <xsd:enumeration value="שירותי ניהול"/>
          <xsd:enumeration value="שירותי פיקוח ובקרה"/>
          <xsd:enumeration value="שירותי פיקוח ותכנון בנייה"/>
          <xsd:enumeration value="שירותי תחזוקה ותפעול"/>
          <xsd:enumeration value="שירותי תחזוקת מערכות"/>
          <xsd:enumeration value="שירותים ימיים"/>
          <xsd:enumeration value="שירותים משפטיים"/>
          <xsd:enumeration value="שירותים רפואיים"/>
          <xsd:enumeration value="שכירויות והשכרות"/>
          <xsd:enumeration value="תחזוקת ציוד ורשתות חשמל ותקשורת"/>
          <xsd:enumeration value="תפעול ציוד"/>
          <xsd:enumeration value="תקשורת וחברות הסלולר"/>
        </xsd:restriction>
      </xsd:simpleType>
    </xsd:element>
    <xsd:element name="MevutachKeren" ma:index="4" nillable="true" ma:displayName="מבוטחים בקרן" ma:format="Dropdown" ma:internalName="MevutachKeren" ma:readOnly="false">
      <xsd:simpleType>
        <xsd:restriction base="dms:Choice">
          <xsd:enumeration value="אגודה לשיקום תעסוקתי-אש&quot;ת"/>
          <xsd:enumeration value="אגודה קורת גג"/>
          <xsd:enumeration value="אגף המכס והמע&quot;מ"/>
          <xsd:enumeration value="אגף להכשרה מקצועית"/>
          <xsd:enumeration value="א.ח.י ייעוץ וניהול"/>
          <xsd:enumeration value="אי.אן.בי. ביזנס קונוליישן"/>
          <xsd:enumeration value="אי.בי. יוניברסל קומיוניקיישן"/>
          <xsd:enumeration value="איי אנד בי פרוג'קט"/>
          <xsd:enumeration value="אל על נתיבי אוויר לישראל בע&quot;מ"/>
          <xsd:enumeration value="אם.גי. קומיוניקיישין"/>
          <xsd:enumeration value="אס.אר.ביזנס קונסולייטינג"/>
          <xsd:enumeration value="אריסט-תשתיות ולוגיסטיקה"/>
          <xsd:enumeration value="ביה&quot;ס לחינוך וספורט ימי קיסריה"/>
          <xsd:enumeration value="בי&quot;ח - ע&quot;ש סוראסקי - ת&quot;א"/>
          <xsd:enumeration value="בי&quot;ח אברבנאל"/>
          <xsd:enumeration value="בי&quot;ח איתנים"/>
          <xsd:enumeration value="בי&quot;ח בני ציון"/>
          <xsd:enumeration value="בי&quot;ח ברזילי-קרן מחקרים רפואיים"/>
          <xsd:enumeration value="בי&quot;ח גריאטרי ע&quot;ש פלימן"/>
          <xsd:enumeration value="בי&quot;ח הלל יפה"/>
          <xsd:enumeration value="בי&quot;ח הנסן"/>
          <xsd:enumeration value="בי&quot;ח זיו צפת"/>
          <xsd:enumeration value="בי&quot;ח כפר שאול"/>
          <xsd:enumeration value="בי&quot;ח מזרע"/>
          <xsd:enumeration value="בי&quot;ח נס ציונה"/>
          <xsd:enumeration value="בי&quot;ח ע&quot;ש ברזילי"/>
          <xsd:enumeration value="בי&quot;ח ע&quot;ש וולפסון"/>
          <xsd:enumeration value="בי&quot;ח ע&quot;ש שיבא"/>
          <xsd:enumeration value="בי&quot;ח פוריה"/>
          <xsd:enumeration value="בי&quot;ח פוריה-קרן מחקרים רפואיים"/>
          <xsd:enumeration value="בי&quot;ח רמב&quot;ם"/>
          <xsd:enumeration value="בי&quot;ח שמואל הרופא"/>
          <xsd:enumeration value="בית ספר לחינוך ימי הרצליה"/>
          <xsd:enumeration value="בנק ישראל"/>
          <xsd:enumeration value="גיל-עד מ.גריאטרי ציבורי אזורי"/>
          <xsd:enumeration value="דורות-מרכז רפואי לשיקום ולגריא"/>
          <xsd:enumeration value="די.אס. אדוויזורס"/>
          <xsd:enumeration value="די.גי.אס. דיזיין אנד מרקטינג"/>
          <xsd:enumeration value="די.די. אולימפיק טרנד קומפני"/>
          <xsd:enumeration value="האגף לשעת חירום"/>
          <xsd:enumeration value="האפוטרופוס הכללי"/>
          <xsd:enumeration value="החברה הממשלתית למדליות ומטבעות"/>
          <xsd:enumeration value="הטלויזיה החינוכית הישראלית"/>
          <xsd:enumeration value="הכנסת"/>
          <xsd:enumeration value="הלשכה המרכזית לסטטיסטיקה"/>
          <xsd:enumeration value="המדפיס הממשלתי"/>
          <xsd:enumeration value="המוסד לביטוח לאומי"/>
          <xsd:enumeration value="המועצה הכלכלית"/>
          <xsd:enumeration value="המועצה להשכלה גבוהה"/>
          <xsd:enumeration value="המכון למחקר ביולוגי"/>
          <xsd:enumeration value="המכללה האקדמית הערבית לחינוך"/>
          <xsd:enumeration value="המכללה לבנייה בישראל (מ.ל.ט.ב)"/>
          <xsd:enumeration value="המעבדה לבריאות הציבור אבו כביר"/>
          <xsd:enumeration value="המרכז הרפואי לגליל"/>
          <xsd:enumeration value="המרכז לבריאות הנפש-שער מנשה"/>
          <xsd:enumeration value="המרכז למחקר גרעיני, נחל שורק"/>
          <xsd:enumeration value="המשרד להגנת הסביבה"/>
          <xsd:enumeration value="המשרד לפיתוח הנגב והגליל"/>
          <xsd:enumeration value="המשרד לשירותי דת"/>
          <xsd:enumeration value="המשרד לשרותי דת"/>
          <xsd:enumeration value="הנהלת בתי הדין הרבניים"/>
          <xsd:enumeration value="הנהלת בתי המשפט"/>
          <xsd:enumeration value="ה.ע.י.מ הנדסה"/>
          <xsd:enumeration value="הקריה למחקר גרעיני - נגב"/>
          <xsd:enumeration value="הקרן למפעלי שיקום למוגבלים"/>
          <xsd:enumeration value="הרפתקאנו-יואב אוריאלי"/>
          <xsd:enumeration value="הרשות הארצית לכבאות והצלה"/>
          <xsd:enumeration value="הרשות הממשלתית למים ולביוב"/>
          <xsd:enumeration value="הרשות להסדרת התיישבות הבדואים בנגב"/>
          <xsd:enumeration value="ווי.אם.טי.ביזנס אדוייזרס גרופ"/>
          <xsd:enumeration value="ועדת הבחירות המרכזית"/>
          <xsd:enumeration value="חב' א.ג.י. נסיעות ותיירות בע&quot;מ"/>
          <xsd:enumeration value="חברה לחקר ימים ואגמים"/>
          <xsd:enumeration value="חברת איסורד בע&quot;מ"/>
          <xsd:enumeration value="חברת בזק"/>
          <xsd:enumeration value="חברת חלד"/>
          <xsd:enumeration value="חברת חלמיש"/>
          <xsd:enumeration value="חברת חש&quot;ף"/>
          <xsd:enumeration value="חברת עלייה בע&quot;מ"/>
          <xsd:enumeration value="חברת עמיגור-ניהול נכסים בע&quot;מ"/>
          <xsd:enumeration value="חברת עמידר בע&quot;מ"/>
          <xsd:enumeration value="חברת פרזות לשיכון ירושלים בע&quot;מ"/>
          <xsd:enumeration value="חברת שקמונה- החברה העירונית"/>
          <xsd:enumeration value="חוג ידידי בי&quot;ח אסף הרופא"/>
          <xsd:enumeration value="יד יצחק בן צבי"/>
          <xsd:enumeration value="ידידיי המרכז הרפואי רמב&quot;ם"/>
          <xsd:enumeration value="י.י. אדוונס מרקינג סולושיין"/>
          <xsd:enumeration value="י.ל.ג תכנון ופיתוח"/>
          <xsd:enumeration value="י.ע.ת.א השקעות ומימון"/>
          <xsd:enumeration value="כ.ע.צ.פ תשתיות"/>
          <xsd:enumeration value="לא ידוע"/>
          <xsd:enumeration value="לוינסקי ארז"/>
          <xsd:enumeration value="לשכת בריאות מחוז באר שבע"/>
          <xsd:enumeration value="לשכת בריאות מחוז חיפה"/>
          <xsd:enumeration value="לשכת בריאות מחוז ירושלים"/>
          <xsd:enumeration value="לשכת בריאות מחוז מרכז"/>
          <xsd:enumeration value="לשכת בריאות מחוז צפון"/>
          <xsd:enumeration value="לשכת בריאות מחוז תל-אביב"/>
          <xsd:enumeration value="לשכת בריאות נפת אשקלון"/>
          <xsd:enumeration value="לשכת הנשיא"/>
          <xsd:enumeration value="לשכת הפרסום הממשלתית"/>
          <xsd:enumeration value="מדינת ישראל"/>
          <xsd:enumeration value="מדינת ישראל - שושנה"/>
          <xsd:enumeration value="מדינת ישראל - תשתיות"/>
          <xsd:enumeration value="מינהל אזרחי לאיו&quot;ש - אוצר"/>
          <xsd:enumeration value="מינהל אזרחי לאיו&quot;ש-קמ&quot;ט אוצר"/>
          <xsd:enumeration value="מינהל המחקר למדעי האדמה והים"/>
          <xsd:enumeration value="מינהל הרכב הממשלתי"/>
          <xsd:enumeration value="מינהל לחינוך התיישבותי וע&quot;נ"/>
          <xsd:enumeration value="מינהלת הדיור הממשלתי"/>
          <xsd:enumeration value="מכון הגיאולוגי"/>
          <xsd:enumeration value="מכון הגיאופיסי לישראל"/>
          <xsd:enumeration value="מכון הרצוג (ישיבת הר עציון)"/>
          <xsd:enumeration value="מכון לביקורת ותקנים"/>
          <xsd:enumeration value="מכון לרפואה משפטית"/>
          <xsd:enumeration value="מכללת אמונה-אפרתה"/>
          <xsd:enumeration value="מכללת גורדון"/>
          <xsd:enumeration value="מכללת חמדת הדרום"/>
          <xsd:enumeration value="מכללת שאנן"/>
          <xsd:enumeration value="מלון שבע הקשתות"/>
          <xsd:enumeration value="מנהל המחקר החקלאי"/>
          <xsd:enumeration value="מנהלת תאום וקישור-אזור חבל עזה"/>
          <xsd:enumeration value="מעבדות מרכזיות"/>
          <xsd:enumeration value="מרכז גריאטרי משולב- שהם"/>
          <xsd:enumeration value="מרכז גריאטרי ראשון לציון"/>
          <xsd:enumeration value="מרכז הדרכה ארצי"/>
          <xsd:enumeration value="מרכז החינוך העצמאי"/>
          <xsd:enumeration value="מרכז הסברה"/>
          <xsd:enumeration value="מרכז יום לקשיש באזור המרכז"/>
          <xsd:enumeration value="מרכז ימי אהלו"/>
          <xsd:enumeration value="מרכז ימי אילת"/>
          <xsd:enumeration value="מרכז ימי אשדוד"/>
          <xsd:enumeration value="מרכז ימי בת ים"/>
          <xsd:enumeration value="מרכז ימי חיפה"/>
          <xsd:enumeration value="מרכז ימי טבריה"/>
          <xsd:enumeration value="מרכז ימי מכמורת"/>
          <xsd:enumeration value="מרכז ימי עכו"/>
          <xsd:enumeration value="מרכז ימי עמק הירדן"/>
          <xsd:enumeration value="מרכז ימי תל אביב"/>
          <xsd:enumeration value="מרכז לבריאות הנפש באר שבע"/>
          <xsd:enumeration value="מרכז לבריאות הנפש -מעלה הכרמל"/>
          <xsd:enumeration value="מרכז לבריאות הנפש-באר יעקב"/>
          <xsd:enumeration value="מרכז לחינוך ימי אשקלון"/>
          <xsd:enumeration value="מרכז לחינוך ימי נהריה"/>
          <xsd:enumeration value="מרכז למיפוי ישראל"/>
          <xsd:enumeration value="מרכז קהילתי לבריאות הנפש יפו"/>
          <xsd:enumeration value="מרכז רפואי אסף הרופא"/>
          <xsd:enumeration value="מרכז רפואי לב השרון-פרדסיה"/>
          <xsd:enumeration value="משטרת ישראל"/>
          <xsd:enumeration value="משרד האוצר"/>
          <xsd:enumeration value="משרד הביטחון"/>
          <xsd:enumeration value="משרד הביטחון מ&quot;ד"/>
          <xsd:enumeration value="משרד הביטחון/משב&quot;ח"/>
          <xsd:enumeration value="משרד הבינוי והשיכון"/>
          <xsd:enumeration value="משרד הבריאות"/>
          <xsd:enumeration value="משרד החוץ"/>
          <xsd:enumeration value="משרד החוץ - שגרירויות"/>
          <xsd:enumeration value="משרד החינוך והתרבות"/>
          <xsd:enumeration value="משרד החקלאות"/>
          <xsd:enumeration value="משרד הכלכלה"/>
          <xsd:enumeration value="משרד המדע, התרבות והספורט"/>
          <xsd:enumeration value="משרד המשפטים"/>
          <xsd:enumeration value="משרד העבודה, הרווחה והשירותים החברתיים"/>
          <xsd:enumeration value="משרד הפנים"/>
          <xsd:enumeration value="משרד הרווחה"/>
          <xsd:enumeration value="משרד התחבורה"/>
          <xsd:enumeration value="משרד התיירות"/>
          <xsd:enumeration value="משרד התקשורת"/>
          <xsd:enumeration value="משרד התשתיות הלאומיות, האנרגיה והמים"/>
          <xsd:enumeration value="משרד לבטחון הפנים"/>
          <xsd:enumeration value="משרד מבקר המדינה"/>
          <xsd:enumeration value="משרד קליטת העלייה"/>
          <xsd:enumeration value="משרד ראש הממשלה"/>
          <xsd:enumeration value="משרד ראש הממשלה תל-אביב"/>
          <xsd:enumeration value="משרד ראש הממשלה-נתיב"/>
          <xsd:enumeration value="ניסטל"/>
          <xsd:enumeration value="נמל חדרה"/>
          <xsd:enumeration value="נמל יפו"/>
          <xsd:enumeration value="נ.ע.ד.ר מחקר ושיווק"/>
          <xsd:enumeration value="נציבות מס הכנסה ומיסוי מקרקעין"/>
          <xsd:enumeration value="נציבות שרות המדינה"/>
          <xsd:enumeration value="נתיבי ישראל-החברה הלאומית לתשתיות תחבורה בע&quot;מ"/>
          <xsd:enumeration value="סוכנות הנסיעות הממשלתית"/>
          <xsd:enumeration value="ס.ל. קומיוניקיישן קומפני"/>
          <xsd:enumeration value="עידן"/>
          <xsd:enumeration value="ענבל חברה לביטוח בע&quot;מ"/>
          <xsd:enumeration value="פיצוי לנאשמים שזוכו"/>
          <xsd:enumeration value="צ.ע.י.ח יועצים"/>
          <xsd:enumeration value="קרן לטיפול בחסויים"/>
          <xsd:enumeration value="רותם תעשיות בע&quot;מ"/>
          <xsd:enumeration value="רמות"/>
          <xsd:enumeration value="רסטול יבוא ויצוא בע&quot;מ"/>
          <xsd:enumeration value="רשות האוכלוסין וההגירה ומעברי"/>
          <xsd:enumeration value="רשות האכיפה והגביה"/>
          <xsd:enumeration value="רשות ההגבלים העסקיים"/>
          <xsd:enumeration value="רשות העתיקות"/>
          <xsd:enumeration value="רשות השידור - טלויזיה"/>
          <xsd:enumeration value="רשות השידור - רדיו"/>
          <xsd:enumeration value="רשות השידור-מנהל/גבייה"/>
          <xsd:enumeration value="רשות השירות הלאומי-אזרחי"/>
          <xsd:enumeration value="רשות לאומית לבטיחות בדרכים"/>
          <xsd:enumeration value="רשות לאומית להסמכת מעבדות"/>
          <xsd:enumeration value="רשות לשירותים ציבוריים- חשמל"/>
          <xsd:enumeration value="רשות מקרקעי ישראל"/>
          <xsd:enumeration value="רשות ניירות ערך"/>
          <xsd:enumeration value="שיכון ופיתוח"/>
          <xsd:enumeration value="שירות הסרטים הישראלי"/>
          <xsd:enumeration value="שירות התעסוקה"/>
          <xsd:enumeration value="שע&quot;ם- שרותי עיבוד  ממוכנים"/>
          <xsd:enumeration value="ש.ע.מ.ר. ייעוץ והשקעות"/>
          <xsd:enumeration value="שקד ע. בע&quot;מ"/>
          <xsd:enumeration value="ש.ר.א.ת השקעות נדל&quot;ן"/>
          <xsd:enumeration value="שרות בתי הסוהר"/>
          <xsd:enumeration value="תאגיד הבריאות ליד בי&quot;ח לגליל המערבי-נהריה"/>
          <xsd:enumeration value="תאגיד הבריאות-רמב&quot;ם"/>
          <xsd:enumeration value="תמ&quot;ג-תיעוד ומיפוי גאוגרפי בע&quot;מ"/>
          <xsd:enumeration value="תמירי אורן"/>
        </xsd:restriction>
      </xsd:simpleType>
    </xsd:element>
    <xsd:element name="SDImportance" ma:index="5" nillable="true" ma:displayName="חשיבות" ma:internalName="SDImportance">
      <xsd:simpleType>
        <xsd:restriction base="dms:Number"/>
      </xsd:simpleType>
    </xsd:element>
    <xsd:element name="SDLastSigningDate" ma:index="6" nillable="true" ma:displayName="תאריך חתימה אחרון " ma:internalName="SDLastSigningDate">
      <xsd:simpleType>
        <xsd:restriction base="dms:DateTime"/>
      </xsd:simpleType>
    </xsd:element>
    <xsd:element name="SDNumOfSignatures" ma:index="7" nillable="true" ma:displayName="מספר חתימות" ma:internalName="SDNumOfSignatures">
      <xsd:simpleType>
        <xsd:restriction base="dms:Number"/>
      </xsd:simpleType>
    </xsd:element>
    <xsd:element name="SDSignersLogins" ma:index="8" nillable="true" ma:displayName="חותם המסמך" ma:internalName="SDSignersLogins">
      <xsd:simpleType>
        <xsd:restriction base="dms:Text"/>
      </xsd:simpleType>
    </xsd:element>
    <xsd:element name="SDExternalEntityConnected" ma:index="9" nillable="true" ma:displayName="מקושר לאפליקציה חיצונית" ma:internalName="SDExternalEntityConnected">
      <xsd:simpleType>
        <xsd:restriction base="dms:Boolean"/>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dexed="true" ma:internalName="SDCategoryID">
      <xsd:simpleType>
        <xsd:restriction base="dms:Text"/>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AutoNumber" ma:index="14" nillable="true" ma:displayName="סימוכין" ma:indexed="true" ma:internalName="AutoNumber">
      <xsd:simpleType>
        <xsd:restriction base="dms:Text"/>
      </xsd:simpleType>
    </xsd:element>
    <xsd:element name="SDDocDate" ma:index="15" nillable="true" ma:displayName="תאריך המסמך" ma:indexed="true" ma:internalName="SDDocDate">
      <xsd:simpleType>
        <xsd:restriction base="dms:DateTime"/>
      </xsd:simpleType>
    </xsd:element>
    <xsd:element name="SDAuthor" ma:index="16" nillable="true" ma:displayName="מחבר" ma:indexed="true" ma:internalName="SDAuthor">
      <xsd:simpleType>
        <xsd:restriction base="dms:Text"/>
      </xsd:simpleType>
    </xsd:element>
    <xsd:element name="SDHebDate" ma:index="17" nillable="true" ma:displayName="תאריך עברי" ma:internalName="SDHebDate">
      <xsd:simpleType>
        <xsd:restriction base="dms:Text"/>
      </xsd:simpleType>
    </xsd:element>
    <xsd:element name="SDOriginalID" ma:index="18" nillable="true" ma:displayName="סימוכין מקורי" ma:internalName="SDOriginalID">
      <xsd:simpleType>
        <xsd:restriction base="dms:Text"/>
      </xsd:simpleType>
    </xsd:element>
    <xsd:element name="SDOfflineTo" ma:index="19" nillable="true" ma:displayName="הוצא אל" ma:internalName="SDOfflineTo">
      <xsd:simpleType>
        <xsd:restriction base="dms:Text"/>
      </xsd:simpleType>
    </xsd:element>
    <xsd:element name="SDAsmachta" ma:index="20" nillable="true" ma:displayName="אסמכתא" ma:internalName="SDAsmachta">
      <xsd:simpleType>
        <xsd:restriction base="dms:Text"/>
      </xsd:simpleType>
    </xsd:element>
    <xsd:element name="UserNameHeb" ma:index="21" nillable="true" ma:displayName="שם משתמש" ma:internalName="UserNameHeb">
      <xsd:simpleType>
        <xsd:restriction base="dms:Text">
          <xsd:maxLength value="255"/>
        </xsd:restriction>
      </xsd:simpleType>
    </xsd:element>
    <xsd:element name="UserNameJob" ma:index="22" nillable="true" ma:displayName="תפקיד משתמש" ma:internalName="UserNameJob">
      <xsd:simpleType>
        <xsd:restriction base="dms:Text">
          <xsd:maxLength value="255"/>
        </xsd:restriction>
      </xsd:simpleType>
    </xsd:element>
    <xsd:element name="SugTikNo" ma:index="23" nillable="true" ma:displayName="סוג תיק" ma:default="55551" ma:internalName="SugTikNo">
      <xsd:simpleType>
        <xsd:restriction base="dms:Text">
          <xsd:maxLength value="255"/>
        </xsd:restriction>
      </xsd:simpleType>
    </xsd:element>
    <xsd:element name="TikNo" ma:index="24" nillable="true" ma:displayName="מספר תיק" ma:internalName="TikNo">
      <xsd:simpleType>
        <xsd:restriction base="dms:Text">
          <xsd:maxLength value="255"/>
        </xsd:restriction>
      </xsd:simpleType>
    </xsd:element>
    <xsd:element name="TviaNo" ma:index="25" nillable="true" ma:displayName="מס תביעה" ma:default="1234" ma:internalName="TviaNo">
      <xsd:simpleType>
        <xsd:restriction base="dms:Text">
          <xsd:maxLength value="255"/>
        </xsd:restriction>
      </xsd:simpleType>
    </xsd:element>
    <xsd:element name="ShemPone" ma:index="26" nillable="true" ma:displayName="שם פונה" ma:internalName="ShemPone">
      <xsd:simpleType>
        <xsd:restriction base="dms:Text">
          <xsd:maxLength value="255"/>
        </xsd:restriction>
      </xsd:simpleType>
    </xsd:element>
    <xsd:element name="MailPone" ma:index="27" nillable="true" ma:displayName="מייל פונה" ma:internalName="MailPon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13"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Props1.xml><?xml version="1.0" encoding="utf-8"?>
<ds:datastoreItem xmlns:ds="http://schemas.openxmlformats.org/officeDocument/2006/customXml" ds:itemID="{3E3101B9-F4E5-415A-A521-9486C0F13857}">
  <ds:schemaRefs>
    <ds:schemaRef ds:uri="http://schemas.microsoft.com/office/2006/metadata/properties"/>
    <ds:schemaRef ds:uri="http://schemas.microsoft.com/office/infopath/2007/PartnerControls"/>
    <ds:schemaRef ds:uri="d0fec014-2480-4c0c-839b-35087546b5a2"/>
  </ds:schemaRefs>
</ds:datastoreItem>
</file>

<file path=customXml/itemProps2.xml><?xml version="1.0" encoding="utf-8"?>
<ds:datastoreItem xmlns:ds="http://schemas.openxmlformats.org/officeDocument/2006/customXml" ds:itemID="{6FD40C11-633B-424B-87CB-29BD66FD94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fec014-2480-4c0c-839b-35087546b5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E1A663-594E-430F-B632-97E60B183834}">
  <ds:schemaRefs>
    <ds:schemaRef ds:uri="http://schemas.microsoft.com/sharepoint/v3/contenttype/forms"/>
  </ds:schemaRefs>
</ds:datastoreItem>
</file>

<file path=customXml/itemProps4.xml><?xml version="1.0" encoding="utf-8"?>
<ds:datastoreItem xmlns:ds="http://schemas.openxmlformats.org/officeDocument/2006/customXml" ds:itemID="{23B6E04F-E0E1-406D-8BFE-B797DB81A165}">
  <ds:schemaRefs>
    <ds:schemaRef ds:uri="http://schemas.microsoft.com/sharepoint/events"/>
  </ds:schemaRefs>
</ds:datastoreItem>
</file>

<file path=customXml/itemProps5.xml><?xml version="1.0" encoding="utf-8"?>
<ds:datastoreItem xmlns:ds="http://schemas.openxmlformats.org/officeDocument/2006/customXml" ds:itemID="{C48792E0-5C17-42DB-B699-F163BF6A03A4}">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431</Words>
  <Characters>2155</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מענה לשאלות הבהרה משרד המשפטים תחקירים בטחוניים</vt:lpstr>
    </vt:vector>
  </TitlesOfParts>
  <Company>-</Company>
  <LinksUpToDate>false</LinksUpToDate>
  <CharactersWithSpaces>2581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משרד המשפטים תחקירים בטחוניים</dc:title>
  <dc:subject>-</dc:subject>
  <dc:creator>-</dc:creator>
  <cp:keywords/>
  <dc:description>-</dc:description>
  <cp:lastModifiedBy>Revital Levi</cp:lastModifiedBy>
  <cp:revision>2</cp:revision>
  <dcterms:created xsi:type="dcterms:W3CDTF">2025-10-26T16:29:00Z</dcterms:created>
  <dcterms:modified xsi:type="dcterms:W3CDTF">2025-10-26T16:29:00Z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0ba99f2a-b58e-4b4c-9a4a-5ae1fef646e5</vt:lpwstr>
  </property>
  <property fmtid="{D5CDD505-2E9C-101B-9397-08002B2CF9AE}" pid="3" name="bjSaver">
    <vt:lpwstr>GM9+VO2x1KP6nuZ+zpNlS2fWfWJaKhs6</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uid="c1389f8a-4cbd-45c7-a8bd-772bba378409" value="" /&gt;&lt;/sisl&gt;</vt:lpwstr>
  </property>
  <property fmtid="{D5CDD505-2E9C-101B-9397-08002B2CF9AE}" pid="6" name="bjDocumentSecurityLabel">
    <vt:lpwstr>ללא סיוג</vt:lpwstr>
  </property>
  <property fmtid="{D5CDD505-2E9C-101B-9397-08002B2CF9AE}" pid="7" name="bjClsUserRVM">
    <vt:lpwstr>[]</vt:lpwstr>
  </property>
  <property fmtid="{D5CDD505-2E9C-101B-9397-08002B2CF9AE}" pid="8" name="ContentTypeId">
    <vt:lpwstr>0x0101001EEFB1AD3257CD47A8028FE87FA0D66A3900FE2BA811C35D3E42BEBDA649DEA31C0D</vt:lpwstr>
  </property>
  <property fmtid="{D5CDD505-2E9C-101B-9397-08002B2CF9AE}" pid="9" name="_dlc_DocIdItemGuid">
    <vt:lpwstr>b6af4cdf-9fd5-4bdb-b0ea-af27ffd5a4a6</vt:lpwstr>
  </property>
  <property fmtid="{D5CDD505-2E9C-101B-9397-08002B2CF9AE}" pid="10" name="_dlc_DocId">
    <vt:lpwstr>27X4K46RPQXN-27-54287</vt:lpwstr>
  </property>
  <property fmtid="{D5CDD505-2E9C-101B-9397-08002B2CF9AE}" pid="11" name="_dlc_DocIdUrl">
    <vt:lpwstr>https://sharedocs/sites/Hakeren/YeutzBituchi/_layouts/15/DocIdRedir.aspx?ID=27X4K46RPQXN-27-54287, 27X4K46RPQXN-27-54287</vt:lpwstr>
  </property>
</Properties>
</file>